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tbl>
      <w:tblPr>
        <w:tblStyle w:val="2"/>
        <w:tblW w:w="10490" w:type="dxa"/>
        <w:tblInd w:type="dxa" w:w="0.000000"/>
        <w:tblLayout w:type="autofi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90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  <w:r>
              <w:rPr>
                <w:u w:val="single"/>
                <w:color w:val="000000"/>
                <w:sz w:val="21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0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—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学年第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二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3614" w:firstLineChars="9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数学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9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default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部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经贸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专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业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数学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</w:p>
          <w:p>
            <w:pPr>
              <w:jc w:val="both"/>
              <w:widowControl/>
              <w:ind w:firstLine="4016" w:firstLineChars="1000"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班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级 ：21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计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算机2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班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4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班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12"/>
                <w:bCs/>
                <w:kern w:val="0"/>
                <w:szCs w:val="12"/>
                <w:rFonts w:ascii="宋体" w:hAnsi="宋体" w:eastAsia="宋体" w:cs="宋体"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2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   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任课教师    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张顺海</w:t>
            </w:r>
            <w:r>
              <w:rPr>
                <w:b w:val="1"/>
                <w:u w:val="single"/>
                <w:sz w:val="40"/>
                <w:lang w:val="en-US" w:eastAsia="zh-CN"/>
                <w:rFonts w:ascii="宋体" w:hAnsi="宋体" w:eastAsia="宋体" w:cs="宋体"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8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6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30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年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月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25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06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教学目标：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(目的要求、质量标准)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ind w:firstLine="640" w:firstLineChars="200"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以现代教育理论，教学大纲和考纲为指导，全面贯彻党的教育方针，深化教育改革，积极实施和推进素质教育，不仅使学生掌握高中数学基础知识与能力，而且要全方位培养学生的创新意识，创新精神，创新能力和实践能力，争取高三教学再上新台阶。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学情分析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：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80" w:firstLineChars="150"/>
              <w:rPr>
                <w:sz w:val="28"/>
                <w:szCs w:val="28"/>
                <w:rFonts w:ascii="仿宋" w:hAnsi="仿宋" w:eastAsia="仿宋" w:cs="仿宋"/>
              </w:rPr>
            </w:pP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2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1</w:t>
            </w:r>
            <w:r>
              <w:rPr>
                <w:sz w:val="32"/>
                <w:rFonts w:ascii="宋体" w:hAnsi="宋体" w:eastAsia="宋体" w:cs="宋体" w:hint="eastAsia"/>
              </w:rPr>
              <w:t>级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计算机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2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班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4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班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共90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名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学</w:t>
            </w:r>
            <w:r>
              <w:rPr>
                <w:u w:val="none"/>
                <w:sz w:val="32"/>
                <w:rFonts w:ascii="宋体" w:hAnsi="宋体" w:eastAsia="宋体" w:cs="宋体" w:hint="eastAsia"/>
              </w:rPr>
              <w:t>生。</w:t>
            </w:r>
            <w:r>
              <w:rPr>
                <w:u w:val="single"/>
                <w:sz w:val="32"/>
                <w:rFonts w:ascii="宋体" w:hAnsi="宋体" w:eastAsia="宋体" w:cs="宋体" w:hint="eastAsia"/>
              </w:rPr>
            </w:r>
            <w:r>
              <w:rPr>
                <w:u w:val="single"/>
                <w:sz w:val="32"/>
                <w:rFonts w:ascii="宋体" w:hAnsi="宋体" w:eastAsia="宋体" w:cs="宋体" w:hint="eastAsia"/>
              </w:rPr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进入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春考最后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冲刺阶段，学生前期已经完成一轮复习，但大部分学生对基础知识的掌握效果一般，大部分学生没有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进入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备考的状态，学习动力不足，不能够自主学习，对数学持放弃的态度，只有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几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个学生掌握的基础还可以。</w:t>
            </w:r>
          </w:p>
          <w:p>
            <w:pPr>
              <w:jc w:val="left"/>
              <w:widowControl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rPr>
                <w:sz w:val="28"/>
                <w:szCs w:val="28"/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本学期教材人教版一、二、三册。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《二轮专题复习材料》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《</w:t>
            </w: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春季高考专项突破检测卷</w:t>
            </w: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》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《</w:t>
            </w: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三轮套题</w:t>
            </w: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》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教学重点难点：</w:t>
            </w:r>
          </w:p>
          <w:p>
            <w:pPr>
              <w:jc w:val="left"/>
              <w:widowControl/>
              <w:ind w:left="321"/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/>
              </w:rPr>
            </w:pPr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1.掌握考点，分析易错点。</w:t>
            </w:r>
          </w:p>
          <w:p>
            <w:pPr>
              <w:jc w:val="left"/>
              <w:widowControl/>
              <w:ind w:left="321"/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</w:pPr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2.注重数学思想方法的考查，数形结合思想</w:t>
            </w:r>
            <w:r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  <w:t>。</w:t>
            </w:r>
          </w:p>
          <w:p>
            <w:pPr>
              <w:jc w:val="left"/>
              <w:widowControl/>
              <w:ind w:left="321"/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</w:pPr>
            <w:bookmarkStart w:id="0" w:name="_GoBack"/>
            <w:bookmarkEnd w:id="0"/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3.高考试题注意区分度</w:t>
            </w:r>
            <w:r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  <w:t>。</w:t>
            </w:r>
          </w:p>
          <w:p>
            <w:pPr>
              <w:spacing w:line="420" w:lineRule="exact"/>
              <w:ind w:firstLine="361" w:firstLineChars="100"/>
              <w:rPr>
                <w:sz w:val="36"/>
                <w:szCs w:val="36"/>
              </w:rPr>
            </w:pPr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4.知识的综合运用能力。</w:t>
            </w: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教学方法及采取措施：</w:t>
            </w:r>
          </w:p>
          <w:p>
            <w:pPr>
              <w:jc w:val="left"/>
              <w:widowControl/>
              <w:ind w:hanging="321" w:hangingChars="100" w:left="959" w:leftChars="304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1.注重基础知识的整合、巩固。回归课本，模块练习，进一步夯实基础，提高解题的准确性与速度。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2.重视和加强选择题的训练和研究。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3.查漏补缺，保强攻弱。对自己的薄弱环节要加强联系，加强各章节知识点的横向联系。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4.提升学生的运算能力，规范答题的能力。</w:t>
            </w:r>
          </w:p>
          <w:p>
            <w:pPr>
              <w:spacing w:line="420" w:lineRule="exact"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5.构建全部知识的数学体系，提高学生的知识综合应用能力。</w:t>
            </w:r>
          </w:p>
          <w:p>
            <w:pPr>
              <w:spacing w:line="420" w:lineRule="exact"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spacing w:line="420" w:lineRule="exact"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</w:tc>
      </w:tr>
    </w:tbl>
    <w:p/>
    <w:tbl>
      <w:tblPr>
        <w:tblStyle w:val="2"/>
        <w:tblW w:w="10485" w:type="dxa"/>
        <w:tblInd w:type="dxa" w:w="0.000000"/>
        <w:tblLayout w:type="autofit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85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附：学 期 授 课 计 划 表</w:t>
            </w:r>
          </w:p>
        </w:tc>
      </w:tr>
    </w:tbl>
    <w:p>
      <w:pPr>
        <w:jc w:val="both"/>
        <w:rPr>
          <w:b w:val="1"/>
          <w:sz w:val="44"/>
          <w:rFonts w:hint="eastAsia"/>
        </w:rPr>
      </w:pPr>
    </w:p>
    <w:p>
      <w:pPr>
        <w:jc w:val="center"/>
        <w:rPr>
          <w:b w:val="1"/>
          <w:sz w:val="44"/>
        </w:rPr>
      </w:pPr>
      <w:r>
        <w:rPr>
          <w:b w:val="1"/>
          <w:sz w:val="44"/>
          <w:rFonts w:hint="eastAsia"/>
        </w:rPr>
        <w:t>学</w:t>
      </w:r>
      <w:r>
        <w:rPr>
          <w:b w:val="1"/>
          <w:sz w:val="44"/>
        </w:rPr>
        <w:t xml:space="preserve"> 期 授 课 计 划 表</w:t>
      </w:r>
    </w:p>
    <w:p/>
    <w:tbl>
      <w:tblPr>
        <w:tblStyle w:val="2"/>
        <w:tblW w:w="10682" w:type="dxa"/>
        <w:tblInd w:type="dxa" w:w="0.000000"/>
        <w:tblLayout w:type="fixed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833.000000"/>
        <w:gridCol w:w="2056.000000"/>
        <w:gridCol w:w="4189.000000"/>
        <w:gridCol w:w="2453.000000"/>
        <w:gridCol w:w="595.000000"/>
        <w:gridCol w:w="556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周次</w:t>
            </w:r>
          </w:p>
        </w:tc>
        <w:tc>
          <w:tcPr>
            <w:tcW w:w="20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时间</w:t>
            </w:r>
          </w:p>
        </w:tc>
        <w:tc>
          <w:tcPr>
            <w:tcW w:w="4189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授课章节及内容提要</w:t>
            </w:r>
          </w:p>
        </w:tc>
        <w:tc>
          <w:tcPr>
            <w:tcW w:w="2453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重点和难点</w:t>
            </w:r>
          </w:p>
        </w:tc>
        <w:tc>
          <w:tcPr>
            <w:tcW w:w="595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课时</w:t>
            </w:r>
          </w:p>
        </w:tc>
        <w:tc>
          <w:tcPr>
            <w:tcW w:w="5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备注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eastAsia="zh-CN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26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03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技能训练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left"/>
              <w:widowControl/>
              <w:rPr>
                <w:sz w:val="18"/>
                <w:kern w:val="0"/>
                <w:szCs w:val="18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3.04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10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技能训练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集合、逻辑用语和不等式、函数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公式运算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数列、平面向量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计算</w:t>
            </w:r>
            <w:r>
              <w:rPr>
                <w:sz w:val="24"/>
                <w:lang w:eastAsia="zh-CN"/>
                <w:kern w:val="0"/>
                <w:szCs w:val="24"/>
                <w:rFonts w:ascii="宋体" w:hAnsi="宋体" w:eastAsia="宋体" w:cs="宋体" w:hint="eastAsia"/>
              </w:rPr>
              <w:t>、</w:t>
            </w: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 xml:space="preserve"> 性质、运用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3.25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3.31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三角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公式、</w:t>
            </w: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计算</w:t>
            </w:r>
            <w:r>
              <w:rPr>
                <w:sz w:val="24"/>
                <w:lang w:eastAsia="zh-CN"/>
                <w:kern w:val="0"/>
                <w:szCs w:val="24"/>
                <w:rFonts w:ascii="宋体" w:hAnsi="宋体" w:eastAsia="宋体" w:cs="宋体" w:hint="eastAsia"/>
              </w:rPr>
              <w:t>、</w:t>
            </w: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 xml:space="preserve"> 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黑体" w:hAnsi="黑体" w:eastAsia="黑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6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解析几何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计算 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2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清明节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lang w:val="en-US" w:eastAsia="zh-CN"/>
                <w:kern w:val="0"/>
                <w:szCs w:val="28"/>
                <w:rFonts w:ascii="宋体" w:hAnsi="宋体" w:eastAsia="宋体" w:cs="宋体" w:hint="eastAsia"/>
              </w:rPr>
              <w:t>立体</w:t>
            </w: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几何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判断、证明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4.15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概率与统计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计算 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28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三轮复习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知识点的综合运用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4.29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5.5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三轮复习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知识点的综合运用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2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五一假期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5.06—5.12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三轮复习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知识点的综合运用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5.19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模拟春考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2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黑体" w:hAnsi="黑体" w:eastAsia="黑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5.26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6.02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6"/>
                <w:kern w:val="0"/>
                <w:szCs w:val="36"/>
                <w:rFonts w:ascii="楷体_GB2312" w:hAnsi="宋体" w:eastAsia="楷体_GB2312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6.09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6"/>
                <w:kern w:val="0"/>
                <w:szCs w:val="36"/>
                <w:rFonts w:ascii="楷体_GB2312" w:hAnsi="宋体" w:eastAsia="楷体_GB2312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16</w:t>
            </w:r>
          </w:p>
        </w:tc>
        <w:tc>
          <w:tcPr>
            <w:tcW w:w="2056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6.16</w:t>
            </w:r>
          </w:p>
        </w:tc>
        <w:tc>
          <w:tcPr>
            <w:tcW w:w="4189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6.23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6.30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sz w:val="36"/>
                <w:kern w:val="0"/>
                <w:szCs w:val="36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7.01-7.07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lang w:val="en-US" w:eastAsia="zh-CN" w:bidi="ar-SA"/>
                <w:bCs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期末复习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7.08-7.12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lang w:val="en-US" w:eastAsia="zh-CN" w:bidi="ar-SA"/>
                <w:bCs/>
                <w:kern w:val="0"/>
                <w:szCs w:val="24"/>
                <w:rFonts w:ascii="宋体" w:hAnsi="宋体" w:eastAsia="宋体" w:cs="宋体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期末考试</w:t>
            </w:r>
          </w:p>
        </w:tc>
      </w:tr>
    </w:tbl>
    <w:p/>
    <w:p/>
    <w:sectPr>
      <w:docGrid w:type="lines" w:linePitch="312" w:charSpace="0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Borders>
        <w:top w:val="none" w:sz="0" w:space="0"/>
        <w:left w:val="none" w:sz="0" w:space="0"/>
        <w:bottom w:val="none" w:sz="0" w:space="0"/>
        <w:right w:val="none" w:sz="0" w:space="0"/>
      </w:pgBorders>
      <w:pgBorders>
        <w:top w:val="none" w:sz="0" w:space="0"/>
        <w:left w:val="none" w:sz="0" w:space="0"/>
        <w:bottom w:val="none" w:sz="0" w:space="0"/>
        <w:right w:val="none" w:sz="0" w:space="0"/>
      </w:pgBorders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s="http://schemas.microsoft.com/office/word/2010/wordprocessingShape" xmlns:r="http://schemas.openxmlformats.org/officeDocument/2006/relationships" xmlns:wne="http://schemas.microsoft.com/office/word/2006/wordml" xmlns:m="http://schemas.openxmlformats.org/officeDocument/2006/math" xmlns:wpg="http://schemas.microsoft.com/office/word/2010/wordprocessingGroup" xmlns:w14="http://schemas.microsoft.com/office/word/2010/wordml" xmlns:w10="urn:schemas-microsoft-com:office:word" xmlns:wpi="http://schemas.microsoft.com/office/word/2010/wordprocessingInk" xmlns:wp14="http://schemas.microsoft.com/office/word/2010/wordprocessingDrawing" xmlns:v="urn:schemas-microsoft-com:vml" xmlns:wp="http://schemas.openxmlformats.org/drawingml/2006/wordprocessingDrawing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rawingGridHorizontalSpacing w:val="105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47FBF"/>
    <w:rsid w:val="08074D6B"/>
    <w:rsid w:val="0AB6302C"/>
    <w:rsid w:val="0D1D3A97"/>
    <w:rsid w:val="0DA16476"/>
    <w:rsid w:val="0E7C5632"/>
    <w:rsid w:val="105772C0"/>
    <w:rsid w:val="175207E1"/>
    <w:rsid w:val="295B1778"/>
    <w:rsid w:val="30082697"/>
    <w:rsid w:val="33DC1707"/>
    <w:rsid w:val="3A4573F5"/>
    <w:rsid w:val="4D0913E7"/>
    <w:rsid w:val="50CB3298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spidmax="0" fill="t" fillcolor="#FFFFFF" stroke="t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/>
    <w:lsdException w:name="Block Text"/>
    <w:lsdException w:name="Body Text"/>
    <w:lsdException w:name="Body Text 2"/>
    <w:lsdException w:name="Body Text 3"/>
    <w:lsdException w:name="Body Text First Indent"/>
    <w:lsdException w:name="Body Text First Indent 2"/>
    <w:lsdException w:name="Body Text Indent"/>
    <w:lsdException w:name="Body Text Indent 2"/>
    <w:lsdException w:name="Body Text Indent 3"/>
    <w:lsdException w:name="Closing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/>
    <w:lsdException w:name="Default Paragraph Font"/>
    <w:lsdException w:name="Document Map"/>
    <w:lsdException w:name="E-mail Signature"/>
    <w:lsdException w:name="Emphasis" w:semiHidden="0" w:unhideWhenUsed="0"/>
    <w:lsdException w:name="FollowedHyperlink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Hyperlink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/>
    <w:lsdException w:name="List 2"/>
    <w:lsdException w:name="List 3"/>
    <w:lsdException w:name="List 4"/>
    <w:lsdException w:name="List 5"/>
    <w:lsdException w:name="List Bullet"/>
    <w:lsdException w:name="List Bullet 2"/>
    <w:lsdException w:name="List Bullet 3"/>
    <w:lsdException w:name="List Bullet 4"/>
    <w:lsdException w:name="List Bullet 5"/>
    <w:lsdException w:name="List Continue"/>
    <w:lsdException w:name="List Continue 2"/>
    <w:lsdException w:name="List Continue 3"/>
    <w:lsdException w:name="List Continue 4"/>
    <w:lsdException w:name="List Continue 5"/>
    <w:lsdException w:name="List Number"/>
    <w:lsdException w:name="List Number 2"/>
    <w:lsdException w:name="List Number 3"/>
    <w:lsdException w:name="List Number 4"/>
    <w:lsdException w:name="List Number 5"/>
    <w:lsdException w:name="List Paragraph" w:semiHidden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/>
    <w:lsdException w:name="Normal" w:semiHidden="0" w:unhideWhenUsed="0"/>
    <w:lsdException w:name="Normal (Web)"/>
    <w:lsdException w:name="Normal Indent"/>
    <w:lsdException w:name="Normal Table"/>
    <w:lsdException w:name="Note Heading"/>
    <w:lsdException w:name="Plain Text"/>
    <w:lsdException w:name="Salutation"/>
    <w:lsdException w:name="Signature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Contemporary"/>
    <w:lsdException w:name="Table Elegant"/>
    <w:lsdException w:name="Table Grid" w:semiHidden="0" w:unhideWhenUsed="0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Professional"/>
    <w:lsdException w:name="Table Simple 1"/>
    <w:lsdException w:name="Table Simple 2"/>
    <w:lsdException w:name="Table Simple 3"/>
    <w:lsdException w:name="Table Subtle 1"/>
    <w:lsdException w:name="Table Subtle 2"/>
    <w:lsdException w:name="Table Theme"/>
    <w:lsdException w:name="Table Web 1"/>
    <w:lsdException w:name="Table Web 2"/>
    <w:lsdException w:name="Table Web 3"/>
    <w:lsdException w:name="Title" w:semiHidden="0" w:unhideWhenUsed="0"/>
    <w:lsdException w:name="annotation reference"/>
    <w:lsdException w:name="annotation subject"/>
    <w:lsdException w:name="annotation text"/>
    <w:lsdException w:name="caption"/>
    <w:lsdException w:name="endnote reference"/>
    <w:lsdException w:name="endnote text"/>
    <w:lsdException w:name="envelope address"/>
    <w:lsdException w:name="envelope return"/>
    <w:lsdException w:name="footer"/>
    <w:lsdException w:name="footnote reference"/>
    <w:lsdException w:name="footnote text"/>
    <w:lsdException w:name="header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index heading"/>
    <w:lsdException w:name="line number"/>
    <w:lsdException w:name="macro"/>
    <w:lsdException w:name="page number"/>
    <w:lsdException w:name="table of authorities"/>
    <w:lsdException w:name="table of figures"/>
    <w:lsdException w:name="toa heading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2"/>
      <w:rFonts w:asciiTheme="minorHAnsi" w:hAnsiTheme="minorHAnsi" w:eastAsiaTheme="minorEastAsia" w:cstheme="minorBidi"/>
    </w:rPr>
  </w:style>
  <w:style w:type="character" w:styleId="3" w:default="1">
    <w:name w:val="Default Paragraph Font"/>
    <w:uiPriority w:val="1"/>
    <w:semiHidden/>
    <w:unhideWhenUsed/>
  </w:style>
  <w:style w:type="table" w:styleId="2" w:default="1">
    <w:name w:val="Normal Table"/>
    <w:uiPriority w:val="99"/>
    <w:semiHidden/>
    <w:unhideWhenUsed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4">
    <w:name w:val="List Paragraph"/>
    <w:basedOn w:val="1"/>
    <w:uiPriority w:val="99"/>
    <w:unhideWhenUsed/>
    <w:qFormat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image" Target="media/image1.png" /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Tibt" typeface="Microsoft Himalaya"/>
        <a:font script="Laoo" typeface="DokChampa"/>
        <a:font script="Geor" typeface="Sylfaen"/>
        <a:font script="Sinh" typeface="Iskoola Pota"/>
        <a:font script="Hebr" typeface="Times New Roman"/>
        <a:font script="Cher" typeface="Plantagenet Cherokee"/>
        <a:font script="Mlym" typeface="Kartika"/>
        <a:font script="Hang" typeface="맑은 고딕"/>
        <a:font script="Mong" typeface="Mongolian Baiti"/>
        <a:font script="Telu" typeface="Gautami"/>
        <a:font script="Deva" typeface="Mangal"/>
        <a:font script="Orya" typeface="Kalinga"/>
        <a:font script="Cans" typeface="Euphemia"/>
        <a:font script="Khmr" typeface="MoolBoran"/>
        <a:font script="Syrc" typeface="Estrangelo Edessa"/>
        <a:font script="Gujr" typeface="Shruti"/>
        <a:font script="Thai" typeface="Angsana New"/>
        <a:font script="Uigh" typeface="Microsoft Uighur"/>
        <a:font script="Beng" typeface="Vrinda"/>
        <a:font script="Hans" typeface="等线 Light"/>
        <a:font script="Guru" typeface="Raavi"/>
        <a:font script="Yiii" typeface="Microsoft Yi Baiti"/>
        <a:font script="Jpan" typeface="游ゴシック Light"/>
        <a:font script="Thaa" typeface="MV Boli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Tibt" typeface="Microsoft Himalaya"/>
        <a:font script="Laoo" typeface="DokChampa"/>
        <a:font script="Geor" typeface="Sylfaen"/>
        <a:font script="Sinh" typeface="Iskoola Pota"/>
        <a:font script="Hebr" typeface="Arial"/>
        <a:font script="Cher" typeface="Plantagenet Cherokee"/>
        <a:font script="Mlym" typeface="Kartika"/>
        <a:font script="Hang" typeface="맑은 고딕"/>
        <a:font script="Mong" typeface="Mongolian Baiti"/>
        <a:font script="Telu" typeface="Gautami"/>
        <a:font script="Deva" typeface="Mangal"/>
        <a:font script="Orya" typeface="Kalinga"/>
        <a:font script="Cans" typeface="Euphemia"/>
        <a:font script="Khmr" typeface="DaunPenh"/>
        <a:font script="Syrc" typeface="Estrangelo Edessa"/>
        <a:font script="Gujr" typeface="Shruti"/>
        <a:font script="Thai" typeface="Cordia New"/>
        <a:font script="Uigh" typeface="Microsoft Uighur"/>
        <a:font script="Beng" typeface="Vrinda"/>
        <a:font script="Hans" typeface="等线"/>
        <a:font script="Guru" typeface="Raavi"/>
        <a:font script="Yiii" typeface="Microsoft Yi Baiti"/>
        <a:font script="Jpan" typeface="游明朝"/>
        <a:font script="Thaa" typeface="MV Boli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6</TotalTime>
  <Pages>6</Pages>
  <Words>375</Words>
  <Characters>2144</Characters>
  <Application>WPS Office_11.1.0.10526_F1E327BC-269C-435d-A152-05C5408002CA</Application>
  <DocSecurity>0</DocSecurity>
  <Lines>17</Lines>
  <Paragraphs>5</Paragraphs>
  <ScaleCrop>false</ScaleCrop>
  <Company>微软中国</Company>
  <LinksUpToDate>false</LinksUpToDate>
  <CharactersWithSpaces>2514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DELL</dc:creator>
  <cp:keywords/>
  <dc:description/>
  <cp:lastModifiedBy>ZAL</cp:lastModifiedBy>
  <cp:revision>11</cp:revision>
  <dcterms:created xsi:type="dcterms:W3CDTF">2023-02-07T07:05:00Z</dcterms:created>
  <dcterms:modified xsi:type="dcterms:W3CDTF">2024-02-28T02:05:57Z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经贸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数学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21电商/会计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翟爱玲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以现代教育理论，教学大纲和考纲为指导，全面贯彻党的教育方针，深化教育改革，积极实施和推进素质教育，不仅使学生掌握高中数学基础知识与能力，而且要全方位培养学生的创新意识，创新精神，创新能力和实践能力，争取高三教学再上新台阶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级进入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春考最后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冲刺阶段，学生前期已经完成一轮复习，但大部分学生对基础知识的掌握效果一般，大部分学生没有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进入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备考的状态，学习动力不足，不能够自主学习，对数学持放弃的态度，只有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几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个学生掌握的基础还可以。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本学期教材人教版一、二、三册。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《二轮专题复习材料》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春季高考专项突破检测卷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》</w:t>
            </w:r>
          </w:p>
          <w:p>
            <w:pPr>
              <w:widowControl/>
              <w:ind w:firstLine="643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三轮套题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》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ind w:left="321"/>
              <w:jc w:val="left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1.掌握考点，分析易错点。</w:t>
            </w:r>
          </w:p>
          <w:p>
            <w:pPr>
              <w:widowControl/>
              <w:ind w:left="321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2.注重数学思想方法的考查，数形结合思想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。</w:t>
            </w:r>
          </w:p>
          <w:p>
            <w:pPr>
              <w:widowControl/>
              <w:ind w:left="321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3.高考试题注意区分度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spacing w:line="420" w:lineRule="exact"/>
              <w:ind w:firstLine="361" w:firstLineChars="100"/>
              <w:rPr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4.知识的综合运用能力。</w:t>
            </w: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ind w:left="959" w:leftChars="304" w:hanging="321" w:hangingChars="1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1.注重基础知识的整合、巩固。回归课本，模块练习，进一步夯实基础，提高解题的准确性与速度。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2.重视和加强选择题的训练和研究。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3.查漏补缺，保强攻弱。对自己的薄弱环节要加强联系，加强各章节知识点的横向联系。</w:t>
            </w:r>
          </w:p>
          <w:p>
            <w:pPr>
              <w:widowControl/>
              <w:ind w:firstLine="643" w:firstLineChars="20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4.提升学生的运算能力，规范答题的能力。</w:t>
            </w: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5.构建全部知识的数学体系，提高学生的知识综合应用能力。</w:t>
            </w: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spacing w:line="420" w:lineRule="exact"/>
              <w:ind w:firstLine="643" w:firstLineChars="200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技能训练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集合、逻辑用语和不等式、函数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公式运算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数列、平面向量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性质、运用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三角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公式、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解析几何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计算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立体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判断、证明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概率与统计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计算 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五一假期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三轮复习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知识点的综合运用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模拟春考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tbak/document1.xml><?xml version="1.0" encoding="utf-8"?>
<w:document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14="http://schemas.microsoft.com/office/word/2010/wordprocessingDrawing" xmlns:v="urn:schemas-microsoft-com:vml" xmlns:w14="http://schemas.microsoft.com/office/word/2010/wordml" xmlns:wpi="http://schemas.microsoft.com/office/word/2010/wordprocessingInk" xmlns:w10="urn:schemas-microsoft-com:office:word" xmlns:wne="http://schemas.microsoft.com/office/word/2006/wordml" xmlns:w15="http://schemas.microsoft.com/office/word/2012/wordml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mc:Ignorable="w14 w15 wp14">
  <w:body>
    <w:tbl>
      <w:tblPr>
        <w:tblStyle w:val="2"/>
        <w:tblW w:w="10490" w:type="dxa"/>
        <w:tblInd w:type="dxa" w:w="0.000000"/>
        <w:tblLayout w:type="autofi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90.000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0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—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学年第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二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3614" w:firstLineChars="9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数学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9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default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学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部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经贸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both"/>
              <w:widowControl/>
              <w:ind w:firstLine="4016" w:firstLineChars="10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专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业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数学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</w:t>
            </w:r>
          </w:p>
          <w:p>
            <w:pPr>
              <w:jc w:val="both"/>
              <w:widowControl/>
              <w:ind w:firstLine="4016" w:firstLineChars="1000"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班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级 ：21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计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算机2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班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4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班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  <w:r>
              <w:rPr>
                <w:b w:val="1"/>
                <w:sz w:val="12"/>
                <w:bCs/>
                <w:kern w:val="0"/>
                <w:szCs w:val="12"/>
                <w:rFonts w:ascii="宋体" w:hAnsi="宋体" w:eastAsia="宋体" w:cs="宋体"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2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    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任课教师    </w:t>
            </w:r>
            <w:r>
              <w:rPr>
                <w:b w:val="1"/>
                <w:u w:val="none"/>
                <w:sz w:val="40"/>
                <w:lang w:val="en-US" w:eastAsia="zh-CN"/>
                <w:rFonts w:ascii="宋体" w:hAnsi="宋体" w:eastAsia="宋体" w:cs="宋体" w:hint="eastAsia"/>
              </w:rPr>
              <w:t xml:space="preserve">张顺海</w:t>
            </w:r>
            <w:r>
              <w:rPr>
                <w:b w:val="1"/>
                <w:u w:val="single"/>
                <w:sz w:val="40"/>
                <w:lang w:val="en-US" w:eastAsia="zh-CN"/>
                <w:rFonts w:ascii="宋体" w:hAnsi="宋体" w:eastAsia="宋体" w:cs="宋体" w:hint="eastAsi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8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6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30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年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月 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25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06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both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教学目标：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(目的要求、质量标准)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ind w:firstLine="640" w:firstLineChars="200"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以现代教育理论，教学大纲和考纲为指导，全面贯彻党的教育方针，深化教育改革，积极实施和推进素质教育，不仅使学生掌握高中数学基础知识与能力，而且要全方位培养学生的创新意识，创新精神，创新能力和实践能力，争取高三教学再上新台阶。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学情分析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：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80" w:firstLineChars="150"/>
              <w:rPr>
                <w:sz w:val="28"/>
                <w:szCs w:val="28"/>
                <w:rFonts w:ascii="仿宋" w:hAnsi="仿宋" w:eastAsia="仿宋" w:cs="仿宋"/>
              </w:rPr>
            </w:pP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2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1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级进入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春考最后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冲刺阶段，学生前期已经完成一轮复习，但大部分学生对基础知识的掌握效果一般，大部分学生没有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进入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备考的状态，学习动力不足，不能够自主学习，对数学持放弃的态度，只有</w:t>
            </w:r>
            <w:r>
              <w:rPr>
                <w:sz w:val="32"/>
                <w:lang w:val="en-US" w:eastAsia="zh-CN"/>
                <w:kern w:val="0"/>
                <w:szCs w:val="32"/>
                <w:rFonts w:ascii="宋体" w:hAnsi="宋体" w:eastAsia="宋体" w:cs="宋体" w:hint="eastAsia"/>
              </w:rPr>
              <w:t>几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个学生掌握的基础还可以。</w:t>
            </w:r>
          </w:p>
          <w:p>
            <w:pPr>
              <w:jc w:val="left"/>
              <w:widowControl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rPr>
                <w:sz w:val="28"/>
                <w:szCs w:val="28"/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本学期教材人教版一、二、三册。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《二轮专题复习材料》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《</w:t>
            </w: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春季高考专项突破检测卷</w:t>
            </w: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》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《</w:t>
            </w: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三轮套题</w:t>
            </w:r>
            <w:r>
              <w:rPr>
                <w:b w:val="1"/>
                <w:sz w:val="32"/>
                <w:lang w:eastAsia="zh-CN"/>
                <w:bCs/>
                <w:kern w:val="0"/>
                <w:szCs w:val="32"/>
                <w:rFonts w:ascii="宋体" w:hAnsi="宋体" w:eastAsia="宋体" w:cs="宋体" w:hint="eastAsia"/>
              </w:rPr>
              <w:t>》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教学重点难点：</w:t>
            </w:r>
          </w:p>
          <w:p>
            <w:pPr>
              <w:jc w:val="left"/>
              <w:widowControl/>
              <w:ind w:left="321"/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/>
              </w:rPr>
            </w:pPr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1.掌握考点，分析易错点。</w:t>
            </w:r>
          </w:p>
          <w:p>
            <w:pPr>
              <w:jc w:val="left"/>
              <w:widowControl/>
              <w:ind w:left="321"/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</w:pPr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2.注重数学思想方法的考查，数形结合思想</w:t>
            </w:r>
            <w:r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  <w:t>。</w:t>
            </w:r>
          </w:p>
          <w:p>
            <w:pPr>
              <w:jc w:val="left"/>
              <w:widowControl/>
              <w:ind w:left="321"/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</w:pPr>
            <w:bookmarkStart w:id="0" w:name="_GoBack"/>
            <w:bookmarkEnd w:id="0"/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3.高考试题注意区分度</w:t>
            </w:r>
            <w:r>
              <w:rPr>
                <w:b w:val="1"/>
                <w:sz w:val="36"/>
                <w:lang w:eastAsia="zh-CN"/>
                <w:bCs/>
                <w:kern w:val="0"/>
                <w:szCs w:val="36"/>
                <w:rFonts w:ascii="宋体" w:hAnsi="宋体" w:eastAsia="宋体" w:cs="宋体" w:hint="eastAsia"/>
              </w:rPr>
              <w:t>。</w:t>
            </w:r>
          </w:p>
          <w:p>
            <w:pPr>
              <w:spacing w:line="420" w:lineRule="exact"/>
              <w:ind w:firstLine="361" w:firstLineChars="100"/>
              <w:rPr>
                <w:sz w:val="36"/>
                <w:szCs w:val="36"/>
              </w:rPr>
            </w:pPr>
            <w:r>
              <w:rPr>
                <w:b w:val="1"/>
                <w:sz w:val="36"/>
                <w:bCs/>
                <w:kern w:val="0"/>
                <w:szCs w:val="36"/>
                <w:rFonts w:ascii="宋体" w:hAnsi="宋体" w:eastAsia="宋体" w:cs="宋体" w:hint="eastAsia"/>
              </w:rPr>
              <w:t>4.知识的综合运用能力。</w:t>
            </w: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教学方法及采取措施：</w:t>
            </w:r>
          </w:p>
          <w:p>
            <w:pPr>
              <w:jc w:val="left"/>
              <w:widowControl/>
              <w:ind w:hanging="321" w:hangingChars="100" w:left="959" w:leftChars="304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1.注重基础知识的整合、巩固。回归课本，模块练习，进一步夯实基础，提高解题的准确性与速度。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2.重视和加强选择题的训练和研究。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3.查漏补缺，保强攻弱。对自己的薄弱环节要加强联系，加强各章节知识点的横向联系。</w:t>
            </w:r>
          </w:p>
          <w:p>
            <w:pPr>
              <w:jc w:val="left"/>
              <w:widowControl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4.提升学生的运算能力，规范答题的能力。</w:t>
            </w:r>
          </w:p>
          <w:p>
            <w:pPr>
              <w:spacing w:line="420" w:lineRule="exact"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5.构建全部知识的数学体系，提高学生的知识综合应用能力。</w:t>
            </w:r>
          </w:p>
          <w:p>
            <w:pPr>
              <w:spacing w:line="420" w:lineRule="exact"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  <w:p>
            <w:pPr>
              <w:spacing w:line="420" w:lineRule="exact"/>
              <w:ind w:firstLine="643" w:firstLineChars="20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</w:pPr>
          </w:p>
        </w:tc>
      </w:tr>
    </w:tbl>
    <w:p/>
    <w:tbl>
      <w:tblPr>
        <w:tblStyle w:val="2"/>
        <w:tblW w:w="10485" w:type="dxa"/>
        <w:tblInd w:type="dxa" w:w="0.000000"/>
        <w:tblLayout w:type="autofit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85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附：学 期 授 课 计 划 表</w:t>
            </w:r>
          </w:p>
        </w:tc>
      </w:tr>
    </w:tbl>
    <w:p>
      <w:pPr>
        <w:jc w:val="both"/>
        <w:rPr>
          <w:b w:val="1"/>
          <w:sz w:val="44"/>
          <w:rFonts w:hint="eastAsia"/>
        </w:rPr>
      </w:pPr>
    </w:p>
    <w:p>
      <w:pPr>
        <w:jc w:val="center"/>
        <w:rPr>
          <w:b w:val="1"/>
          <w:sz w:val="44"/>
        </w:rPr>
      </w:pPr>
      <w:r>
        <w:rPr>
          <w:b w:val="1"/>
          <w:sz w:val="44"/>
          <w:rFonts w:hint="eastAsia"/>
        </w:rPr>
        <w:t>学</w:t>
      </w:r>
      <w:r>
        <w:rPr>
          <w:b w:val="1"/>
          <w:sz w:val="44"/>
        </w:rPr>
        <w:t xml:space="preserve"> 期 授 课 计 划 表</w:t>
      </w:r>
    </w:p>
    <w:p/>
    <w:tbl>
      <w:tblPr>
        <w:tblStyle w:val="2"/>
        <w:tblW w:w="10682" w:type="dxa"/>
        <w:tblInd w:type="dxa" w:w="0.000000"/>
        <w:tblLayout w:type="fixed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833.000000"/>
        <w:gridCol w:w="2056.000000"/>
        <w:gridCol w:w="4189.000000"/>
        <w:gridCol w:w="2453.000000"/>
        <w:gridCol w:w="595.000000"/>
        <w:gridCol w:w="556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周次</w:t>
            </w:r>
          </w:p>
        </w:tc>
        <w:tc>
          <w:tcPr>
            <w:tcW w:w="20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时间</w:t>
            </w:r>
          </w:p>
        </w:tc>
        <w:tc>
          <w:tcPr>
            <w:tcW w:w="4189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授课章节及内容提要</w:t>
            </w:r>
          </w:p>
        </w:tc>
        <w:tc>
          <w:tcPr>
            <w:tcW w:w="2453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重点和难点</w:t>
            </w:r>
          </w:p>
        </w:tc>
        <w:tc>
          <w:tcPr>
            <w:tcW w:w="595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课时</w:t>
            </w:r>
          </w:p>
        </w:tc>
        <w:tc>
          <w:tcPr>
            <w:tcW w:w="5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备注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eastAsia="zh-CN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26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03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技能训练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left"/>
              <w:widowControl/>
              <w:rPr>
                <w:sz w:val="18"/>
                <w:kern w:val="0"/>
                <w:szCs w:val="18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3.04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10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技能训练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集合、逻辑用语和不等式、函数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公式运算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数列、平面向量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计算</w:t>
            </w:r>
            <w:r>
              <w:rPr>
                <w:sz w:val="24"/>
                <w:lang w:eastAsia="zh-CN"/>
                <w:kern w:val="0"/>
                <w:szCs w:val="24"/>
                <w:rFonts w:ascii="宋体" w:hAnsi="宋体" w:eastAsia="宋体" w:cs="宋体" w:hint="eastAsia"/>
              </w:rPr>
              <w:t>、</w:t>
            </w: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 xml:space="preserve"> 性质、运用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3.25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3.31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三角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公式、</w:t>
            </w: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计算</w:t>
            </w:r>
            <w:r>
              <w:rPr>
                <w:sz w:val="24"/>
                <w:lang w:eastAsia="zh-CN"/>
                <w:kern w:val="0"/>
                <w:szCs w:val="24"/>
                <w:rFonts w:ascii="宋体" w:hAnsi="宋体" w:eastAsia="宋体" w:cs="宋体" w:hint="eastAsia"/>
              </w:rPr>
              <w:t>、</w:t>
            </w: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 xml:space="preserve"> 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黑体" w:hAnsi="黑体" w:eastAsia="黑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6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4.01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解析几何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计算 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2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清明节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4.08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14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lang w:val="en-US" w:eastAsia="zh-CN"/>
                <w:kern w:val="0"/>
                <w:szCs w:val="28"/>
                <w:rFonts w:ascii="宋体" w:hAnsi="宋体" w:eastAsia="宋体" w:cs="宋体" w:hint="eastAsia"/>
              </w:rPr>
              <w:t>立体</w:t>
            </w: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几何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判断、证明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4.15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概率与统计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计算 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22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.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28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三轮复习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知识点的综合运用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4.29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5.5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三轮复习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知识点的综合运用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2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default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楷体_GB2312" w:hAnsi="宋体" w:eastAsia="楷体_GB2312" w:cs="宋体" w:hint="eastAsia"/>
              </w:rPr>
              <w:t>五一假期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5.06—5.12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三轮复习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8"/>
                <w:kern w:val="0"/>
                <w:szCs w:val="28"/>
                <w:rFonts w:ascii="宋体" w:hAnsi="宋体" w:eastAsia="宋体" w:cs="宋体" w:hint="eastAsia"/>
              </w:rPr>
              <w:t>知识点的综合运用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4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5.19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模拟春考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  <w:t>2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黑体" w:hAnsi="黑体" w:eastAsia="黑体" w:cs="宋体" w:hint="eastAsia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eastAsia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5.26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 w:bidi="ar-SA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5.27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6.02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6"/>
                <w:kern w:val="0"/>
                <w:szCs w:val="36"/>
                <w:rFonts w:ascii="楷体_GB2312" w:hAnsi="宋体" w:eastAsia="楷体_GB2312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6.03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6.09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36"/>
                <w:kern w:val="0"/>
                <w:szCs w:val="36"/>
                <w:rFonts w:ascii="楷体_GB2312" w:hAnsi="宋体" w:eastAsia="楷体_GB2312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16</w:t>
            </w:r>
          </w:p>
        </w:tc>
        <w:tc>
          <w:tcPr>
            <w:tcW w:w="2056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6.10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6.16</w:t>
            </w:r>
          </w:p>
        </w:tc>
        <w:tc>
          <w:tcPr>
            <w:tcW w:w="4189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6.17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6.23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6.24</w:t>
            </w: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--</w:t>
            </w: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6.30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sz w:val="36"/>
                <w:kern w:val="0"/>
                <w:szCs w:val="36"/>
                <w:rFonts w:ascii="宋体" w:hAnsi="宋体" w:eastAsia="宋体" w:cs="宋体"/>
              </w:rPr>
            </w:pP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7.01-7.07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lang w:val="en-US" w:eastAsia="zh-CN" w:bidi="ar-SA"/>
                <w:bCs/>
                <w:kern w:val="0"/>
                <w:szCs w:val="24"/>
                <w:rFonts w:ascii="宋体" w:hAnsi="宋体" w:eastAsia="宋体" w:cs="宋体" w:hint="default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期末复习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default"/>
              </w:rPr>
            </w:pPr>
            <w:r>
              <w:rPr>
                <w:b w:val="1"/>
                <w:sz w:val="28"/>
                <w:lang w:val="en-US" w:eastAsia="zh-CN"/>
                <w:bCs/>
                <w:kern w:val="0"/>
                <w:szCs w:val="28"/>
                <w:rFonts w:ascii="宋体" w:hAnsi="宋体" w:eastAsia="宋体" w:cs="宋体" w:hint="eastAsia"/>
              </w:rPr>
              <w:t>7.08-7.12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lang w:val="en-US" w:eastAsia="zh-CN" w:bidi="ar-SA"/>
                <w:bCs/>
                <w:kern w:val="0"/>
                <w:szCs w:val="24"/>
                <w:rFonts w:ascii="宋体" w:hAnsi="宋体" w:eastAsia="宋体" w:cs="宋体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期末考试</w:t>
            </w:r>
          </w:p>
        </w:tc>
      </w:tr>
    </w:tbl>
    <w:p/>
    <w:p/>
    <w:sectPr>
      <w:docGrid w:type="lines" w:linePitch="312" w:charSpace="0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Borders>
        <w:top w:val="none" w:sz="0" w:space="0"/>
        <w:left w:val="none" w:sz="0" w:space="0"/>
        <w:bottom w:val="none" w:sz="0" w:space="0"/>
        <w:right w:val="none" w:sz="0" w:space="0"/>
      </w:pgBorders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</w:sectPr>
  </w:body>
</w:document>
</file>